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643A" w:rsidRDefault="00CC643A" w:rsidP="00CC643A">
      <w:pPr>
        <w:spacing w:line="480" w:lineRule="auto"/>
        <w:jc w:val="center"/>
        <w:rPr>
          <w:b/>
        </w:rPr>
      </w:pPr>
    </w:p>
    <w:p w:rsidR="00CC643A" w:rsidRDefault="00CC643A" w:rsidP="00CC643A">
      <w:pPr>
        <w:jc w:val="center"/>
        <w:rPr>
          <w:b/>
        </w:rPr>
      </w:pPr>
      <w:r>
        <w:rPr>
          <w:b/>
        </w:rPr>
        <w:t>Conflict Resolution through Communication</w:t>
      </w:r>
    </w:p>
    <w:p w:rsidR="00CC643A" w:rsidRDefault="00CC643A" w:rsidP="00CC643A">
      <w:pPr>
        <w:jc w:val="center"/>
        <w:rPr>
          <w:b/>
        </w:rPr>
      </w:pPr>
      <w:r>
        <w:rPr>
          <w:b/>
        </w:rPr>
        <w:t>Institution Affiliation</w:t>
      </w:r>
    </w:p>
    <w:p w:rsidR="00CC643A" w:rsidRDefault="00CC643A" w:rsidP="00CC643A">
      <w:pPr>
        <w:jc w:val="center"/>
        <w:rPr>
          <w:b/>
        </w:rPr>
      </w:pPr>
      <w:r>
        <w:rPr>
          <w:b/>
        </w:rPr>
        <w:t>Name</w:t>
      </w:r>
      <w:r>
        <w:rPr>
          <w:b/>
        </w:rPr>
        <w:br w:type="page"/>
      </w:r>
    </w:p>
    <w:p w:rsidR="00CC643A" w:rsidRDefault="00CC643A" w:rsidP="00CC643A">
      <w:pPr>
        <w:spacing w:line="480" w:lineRule="auto"/>
        <w:jc w:val="center"/>
        <w:rPr>
          <w:b/>
        </w:rPr>
      </w:pPr>
      <w:r>
        <w:rPr>
          <w:b/>
        </w:rPr>
        <w:lastRenderedPageBreak/>
        <w:t>Conflict Resolution through Communication</w:t>
      </w:r>
    </w:p>
    <w:p w:rsidR="00CC643A" w:rsidRPr="00863DA6" w:rsidRDefault="00CC643A" w:rsidP="00CC643A">
      <w:pPr>
        <w:spacing w:line="480" w:lineRule="auto"/>
        <w:jc w:val="center"/>
        <w:rPr>
          <w:b/>
        </w:rPr>
      </w:pPr>
      <w:r w:rsidRPr="00863DA6">
        <w:rPr>
          <w:b/>
        </w:rPr>
        <w:t>Introduction</w:t>
      </w:r>
    </w:p>
    <w:p w:rsidR="00CC643A" w:rsidRDefault="00CC643A" w:rsidP="00CC643A">
      <w:pPr>
        <w:spacing w:line="480" w:lineRule="auto"/>
        <w:ind w:firstLine="720"/>
      </w:pPr>
      <w:r w:rsidRPr="00500EEF">
        <w:t xml:space="preserve">Although many think the financial performance of the organization is the most critical aspect but conflict management should be hugely considered in the organizational setting. Conflict management is tremendously developing into an integral sub-field of institutional behavior on a short term basis. The situation is underlining greater conflict acceptance which is treated as the organizational phenomenon, more often, a concern to the management. Therefore, the paper selected the article on managing a conflict in an organization through communication to generate critical analysis, and in this case, conflict and communication management in the local public organizations developed by Gabriela Hener. </w:t>
      </w:r>
    </w:p>
    <w:p w:rsidR="00CC643A" w:rsidRDefault="00CC643A" w:rsidP="00CC643A">
      <w:pPr>
        <w:spacing w:line="480" w:lineRule="auto"/>
        <w:ind w:firstLine="720"/>
      </w:pPr>
      <w:r w:rsidRPr="00500EEF">
        <w:t>Hener focuses on the intra-organizational conflicts including the communication influence in regards to the conflict resolution process (Hener, 2017, p. 133). Besides, the article pinpoints intra-organizational conflict models which are pivotal to the course. Simply, intra-organizational conflicts encompass the structure of the organization makeup having four categories, namely; vertical, horizontal, line-staff, and role conflicts (Hener, 2017, p. 133). By expansion, a vertical conflict usually happens when your supervisor occasionally tells you what to do and even to an extent of micromanaging instead of allowing you to perform your job. Horizontal conflicts result between employees of the same hierarchical level from the same unit and they manifest themselves through disagreements in opinions, decisions, and ideas (Hener, 2017, p. 133).</w:t>
      </w:r>
    </w:p>
    <w:p w:rsidR="00CC643A" w:rsidRDefault="00CC643A" w:rsidP="00CC643A">
      <w:pPr>
        <w:spacing w:line="480" w:lineRule="auto"/>
        <w:ind w:firstLine="720"/>
      </w:pPr>
      <w:r w:rsidRPr="00500EEF">
        <w:t xml:space="preserve"> Last but not least, line staff-conflicts occur within a department attributed by support staff and actual units. Finally, role conflicts have a possibility of stemming from assignment </w:t>
      </w:r>
      <w:r w:rsidRPr="00500EEF">
        <w:lastRenderedPageBreak/>
        <w:t xml:space="preserve">incomplete understanding delegated to the employee at a particular time. Also, the author showcased the formal communication models such as downward, upward, and horizontal communication to solve conflicts due to increased comprehension and reduction of risk to jump to conclusions or make generalizations (Hener, 2017, p. 135). These points are significant to the course in the following ways; first, the topic would enhance common idea and effort including collaboration realized from not only communication influence dimension but also in respect of persuasion (Hener, 2017, p. 137). Second, it would promote consistent relationships among people, more importantly, the function of individual socialization which collectively minimize conflicts in the organization.  </w:t>
      </w:r>
    </w:p>
    <w:p w:rsidR="00CC643A" w:rsidRDefault="00CC643A" w:rsidP="00CC643A">
      <w:pPr>
        <w:spacing w:line="480" w:lineRule="auto"/>
        <w:ind w:firstLine="720"/>
      </w:pPr>
      <w:r w:rsidRPr="00500EEF">
        <w:t>Without a doubt, Hener should be aware of both functional and dysfunctional outcomes when undertaking a conflict resolution process through effective communication. The functional outcomes include; stimulation of the creativity, innovation, and growth, improvement of sound organizational decision-making, the discovery of alternative solutions to a problem, enhancement of group and individual performance, and an individual might be forced to seek new holistic strategies</w:t>
      </w:r>
      <w:r>
        <w:t xml:space="preserve"> (Columbia Southern University, 2014)</w:t>
      </w:r>
      <w:r w:rsidRPr="00500EEF">
        <w:t>. On the other hand, dysfunctional outcomes entail; reduction of communication among employees, damage in relationships, decreases in job performance, compromises loyalty and organizational commitment, and escalation of a distrust and suspicion environment</w:t>
      </w:r>
      <w:r>
        <w:t xml:space="preserve"> (Columbia Southern University, 2014)</w:t>
      </w:r>
      <w:r w:rsidRPr="00500EEF">
        <w:t xml:space="preserve">. </w:t>
      </w:r>
    </w:p>
    <w:p w:rsidR="00CC643A" w:rsidRPr="00500EEF" w:rsidRDefault="00CC643A" w:rsidP="00CC643A">
      <w:pPr>
        <w:spacing w:line="480" w:lineRule="auto"/>
        <w:ind w:firstLine="720"/>
      </w:pPr>
      <w:r w:rsidRPr="00500EEF">
        <w:t xml:space="preserve">Consequently, the paper suggests the following communication techniques in managing functional conflict and dysfunctional conflict as well. Assertive communication by creating a platform for every individual to exercise his/her rights, expectations, and needs. As a result, it will underline what is at stake and the individuals influenced by the decisions and it will be more viable if the message accommodates the entire organizational structure including shareholders </w:t>
      </w:r>
      <w:r w:rsidRPr="00500EEF">
        <w:lastRenderedPageBreak/>
        <w:t>and customers as a larger context</w:t>
      </w:r>
      <w:r>
        <w:t xml:space="preserve"> (Naima &amp; Stewart, 2018)</w:t>
      </w:r>
      <w:r w:rsidRPr="00500EEF">
        <w:t>. Apart from this, embrace active listening to develop a collaborative understanding of an issue, and in this light, receivers possibly seek classifications, or mirror the feelings of the speaker, or ask for additional information. Another way is to solve a problem by defining it and establishing the causes are vital elements to aid to mitigate a conflict, in most cases, through communication.</w:t>
      </w:r>
    </w:p>
    <w:p w:rsidR="00CC643A" w:rsidRPr="00863DA6" w:rsidRDefault="00CC643A" w:rsidP="00CC643A">
      <w:pPr>
        <w:spacing w:line="480" w:lineRule="auto"/>
        <w:jc w:val="center"/>
        <w:rPr>
          <w:b/>
        </w:rPr>
      </w:pPr>
      <w:r w:rsidRPr="00863DA6">
        <w:rPr>
          <w:b/>
        </w:rPr>
        <w:t>Conclusion</w:t>
      </w:r>
    </w:p>
    <w:p w:rsidR="00CC643A" w:rsidRDefault="00CC643A" w:rsidP="00CC643A">
      <w:pPr>
        <w:spacing w:line="480" w:lineRule="auto"/>
        <w:ind w:firstLine="720"/>
      </w:pPr>
      <w:r w:rsidRPr="00500EEF">
        <w:t>To sum up, organizations find it difficult to eliminate conflict from the institution but moderate conflict is fundamental to the organization as it is required to maintain effectiveness. In the case of functional and dysfunctional consequences of conflict, could be facilitated by communication. Perhaps, the participants reveal the meaning of conflict and its implications to the organization.</w:t>
      </w:r>
    </w:p>
    <w:p w:rsidR="00CC643A" w:rsidRPr="00863DA6" w:rsidRDefault="00CC643A" w:rsidP="00CC643A">
      <w:pPr>
        <w:spacing w:line="480" w:lineRule="auto"/>
        <w:jc w:val="center"/>
        <w:rPr>
          <w:b/>
        </w:rPr>
      </w:pPr>
      <w:r w:rsidRPr="00863DA6">
        <w:rPr>
          <w:b/>
        </w:rPr>
        <w:t>References</w:t>
      </w:r>
    </w:p>
    <w:p w:rsidR="00CC643A" w:rsidRDefault="00CC643A" w:rsidP="00CC643A">
      <w:pPr>
        <w:spacing w:line="480" w:lineRule="auto"/>
        <w:ind w:left="720" w:hanging="720"/>
      </w:pPr>
      <w:r>
        <w:t xml:space="preserve">Hener, G. (2017). Communication and Conflict Management in Local Public Organization. </w:t>
      </w:r>
      <w:r w:rsidRPr="00861456">
        <w:rPr>
          <w:i/>
        </w:rPr>
        <w:t>Transylvanian Review of Administrative Sciences</w:t>
      </w:r>
      <w:r>
        <w:t>, 132-141.</w:t>
      </w:r>
    </w:p>
    <w:p w:rsidR="00CC643A" w:rsidRDefault="00CC643A" w:rsidP="00CC643A">
      <w:pPr>
        <w:spacing w:line="480" w:lineRule="auto"/>
        <w:ind w:left="720" w:hanging="720"/>
      </w:pPr>
      <w:r>
        <w:t>Columbia Southern University. (2014). Managing Conflict in an Organization through Communication, p. 31-331.</w:t>
      </w:r>
    </w:p>
    <w:p w:rsidR="00CC643A" w:rsidRPr="00500EEF" w:rsidRDefault="00CC643A" w:rsidP="00CC643A">
      <w:pPr>
        <w:spacing w:line="480" w:lineRule="auto"/>
        <w:ind w:left="720" w:hanging="720"/>
      </w:pPr>
      <w:r>
        <w:t xml:space="preserve">Naima, E.M. &amp; Stewart, C. (2018). Unpacking the Meaning of Conflict in Organizational Conflict Review. </w:t>
      </w:r>
      <w:r w:rsidRPr="00863DA6">
        <w:rPr>
          <w:i/>
        </w:rPr>
        <w:t>International Association for Conflict Management and Wiley Periodicals Inc</w:t>
      </w:r>
      <w:r>
        <w:t>, 11 (3), 185-203.</w:t>
      </w:r>
    </w:p>
    <w:p w:rsidR="00E8647E" w:rsidRPr="002779D5" w:rsidRDefault="00E8647E" w:rsidP="00C539F1">
      <w:pPr>
        <w:spacing w:line="480" w:lineRule="auto"/>
        <w:jc w:val="both"/>
        <w:rPr>
          <w:color w:val="222222"/>
          <w:shd w:val="clear" w:color="auto" w:fill="FFFFFF"/>
        </w:rPr>
      </w:pPr>
    </w:p>
    <w:sectPr w:rsidR="00E8647E" w:rsidRPr="002779D5" w:rsidSect="00650F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187A" w:rsidRDefault="007F187A" w:rsidP="00650F0D">
      <w:pPr>
        <w:spacing w:after="0" w:line="240" w:lineRule="auto"/>
      </w:pPr>
      <w:r>
        <w:separator/>
      </w:r>
    </w:p>
  </w:endnote>
  <w:endnote w:type="continuationSeparator" w:id="1">
    <w:p w:rsidR="007F187A" w:rsidRDefault="007F187A" w:rsidP="00650F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187A" w:rsidRDefault="007F187A" w:rsidP="00650F0D">
      <w:pPr>
        <w:spacing w:after="0" w:line="240" w:lineRule="auto"/>
      </w:pPr>
      <w:r>
        <w:separator/>
      </w:r>
    </w:p>
  </w:footnote>
  <w:footnote w:type="continuationSeparator" w:id="1">
    <w:p w:rsidR="007F187A" w:rsidRDefault="007F187A" w:rsidP="00650F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B80" w:rsidRDefault="00CC643A" w:rsidP="001B4754">
    <w:pPr>
      <w:pStyle w:val="Header"/>
    </w:pPr>
    <w:r>
      <w:t>Conflict Resolution through Communication</w:t>
    </w:r>
    <w:sdt>
      <w:sdtPr>
        <w:id w:val="-2061470067"/>
        <w:docPartObj>
          <w:docPartGallery w:val="Page Numbers (Top of Page)"/>
          <w:docPartUnique/>
        </w:docPartObj>
      </w:sdtPr>
      <w:sdtEndPr>
        <w:rPr>
          <w:noProof/>
        </w:rPr>
      </w:sdtEndPr>
      <w:sdtContent>
        <w:r w:rsidR="00C602CC">
          <w:fldChar w:fldCharType="begin"/>
        </w:r>
        <w:r w:rsidR="009B6B80">
          <w:instrText xml:space="preserve"> PAGE   \* MERGEFORMAT </w:instrText>
        </w:r>
        <w:r w:rsidR="00C602CC">
          <w:fldChar w:fldCharType="separate"/>
        </w:r>
        <w:r>
          <w:rPr>
            <w:noProof/>
          </w:rPr>
          <w:t>4</w:t>
        </w:r>
        <w:r w:rsidR="00C602CC">
          <w:rPr>
            <w:noProof/>
          </w:rPr>
          <w:fldChar w:fldCharType="end"/>
        </w:r>
      </w:sdtContent>
    </w:sdt>
  </w:p>
  <w:p w:rsidR="009B6B80" w:rsidRDefault="009B6B8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F0D" w:rsidRDefault="00650F0D" w:rsidP="00163222">
    <w:pPr>
      <w:pStyle w:val="Header"/>
    </w:pPr>
    <w:r>
      <w:t>Running head:</w:t>
    </w:r>
    <w:r w:rsidR="00CC643A">
      <w:t xml:space="preserve"> Conflict Resolution through Communication</w:t>
    </w:r>
    <w:sdt>
      <w:sdtPr>
        <w:id w:val="-757592773"/>
        <w:docPartObj>
          <w:docPartGallery w:val="Page Numbers (Top of Page)"/>
          <w:docPartUnique/>
        </w:docPartObj>
      </w:sdtPr>
      <w:sdtEndPr>
        <w:rPr>
          <w:noProof/>
        </w:rPr>
      </w:sdtEndPr>
      <w:sdtContent>
        <w:r w:rsidR="00C602CC">
          <w:fldChar w:fldCharType="begin"/>
        </w:r>
        <w:r>
          <w:instrText xml:space="preserve"> PAGE   \* MERGEFORMAT </w:instrText>
        </w:r>
        <w:r w:rsidR="00C602CC">
          <w:fldChar w:fldCharType="separate"/>
        </w:r>
        <w:r w:rsidR="00CC643A">
          <w:rPr>
            <w:noProof/>
          </w:rPr>
          <w:t>1</w:t>
        </w:r>
        <w:r w:rsidR="00C602CC">
          <w:rPr>
            <w:noProof/>
          </w:rPr>
          <w:fldChar w:fldCharType="end"/>
        </w:r>
      </w:sdtContent>
    </w:sdt>
  </w:p>
  <w:p w:rsidR="00650F0D" w:rsidRDefault="00650F0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163B8F"/>
    <w:rsid w:val="00004AF5"/>
    <w:rsid w:val="00017586"/>
    <w:rsid w:val="00024C80"/>
    <w:rsid w:val="00027DE6"/>
    <w:rsid w:val="00043DB7"/>
    <w:rsid w:val="000469AA"/>
    <w:rsid w:val="0005505E"/>
    <w:rsid w:val="0007486F"/>
    <w:rsid w:val="00075AA1"/>
    <w:rsid w:val="000850D8"/>
    <w:rsid w:val="0009455F"/>
    <w:rsid w:val="000C087E"/>
    <w:rsid w:val="000E1424"/>
    <w:rsid w:val="000F27E1"/>
    <w:rsid w:val="0014683B"/>
    <w:rsid w:val="00147626"/>
    <w:rsid w:val="00157773"/>
    <w:rsid w:val="00163222"/>
    <w:rsid w:val="00163B8F"/>
    <w:rsid w:val="001853B8"/>
    <w:rsid w:val="001B4754"/>
    <w:rsid w:val="001C08E8"/>
    <w:rsid w:val="001D28FA"/>
    <w:rsid w:val="001E0F8A"/>
    <w:rsid w:val="001F7BB5"/>
    <w:rsid w:val="00202FCB"/>
    <w:rsid w:val="002032B7"/>
    <w:rsid w:val="00217643"/>
    <w:rsid w:val="00237944"/>
    <w:rsid w:val="00243A8E"/>
    <w:rsid w:val="0026615F"/>
    <w:rsid w:val="002779D5"/>
    <w:rsid w:val="002857FF"/>
    <w:rsid w:val="002B2444"/>
    <w:rsid w:val="002B6023"/>
    <w:rsid w:val="002C1471"/>
    <w:rsid w:val="00301EBA"/>
    <w:rsid w:val="00323AFE"/>
    <w:rsid w:val="00324757"/>
    <w:rsid w:val="00327A57"/>
    <w:rsid w:val="003333CF"/>
    <w:rsid w:val="00336184"/>
    <w:rsid w:val="00340837"/>
    <w:rsid w:val="0035076E"/>
    <w:rsid w:val="0036062D"/>
    <w:rsid w:val="003822B3"/>
    <w:rsid w:val="00383A18"/>
    <w:rsid w:val="00387091"/>
    <w:rsid w:val="003A04BE"/>
    <w:rsid w:val="003A0F98"/>
    <w:rsid w:val="003A1E94"/>
    <w:rsid w:val="003A24E6"/>
    <w:rsid w:val="003B5327"/>
    <w:rsid w:val="003C146B"/>
    <w:rsid w:val="003E7832"/>
    <w:rsid w:val="003F12F8"/>
    <w:rsid w:val="0041478F"/>
    <w:rsid w:val="00463BD4"/>
    <w:rsid w:val="00484CC1"/>
    <w:rsid w:val="004A1AA1"/>
    <w:rsid w:val="004C0CDA"/>
    <w:rsid w:val="004C5B06"/>
    <w:rsid w:val="004E136D"/>
    <w:rsid w:val="004F5093"/>
    <w:rsid w:val="00501B01"/>
    <w:rsid w:val="00507A99"/>
    <w:rsid w:val="00514B15"/>
    <w:rsid w:val="0052712D"/>
    <w:rsid w:val="00531E7F"/>
    <w:rsid w:val="0055019B"/>
    <w:rsid w:val="005532C1"/>
    <w:rsid w:val="00564BF5"/>
    <w:rsid w:val="00580C30"/>
    <w:rsid w:val="005849C1"/>
    <w:rsid w:val="0059239A"/>
    <w:rsid w:val="005B5F7C"/>
    <w:rsid w:val="005C5180"/>
    <w:rsid w:val="005D46FC"/>
    <w:rsid w:val="005E3E13"/>
    <w:rsid w:val="005E5154"/>
    <w:rsid w:val="005F3243"/>
    <w:rsid w:val="005F7F27"/>
    <w:rsid w:val="00604BA9"/>
    <w:rsid w:val="00621518"/>
    <w:rsid w:val="006331D3"/>
    <w:rsid w:val="00633E71"/>
    <w:rsid w:val="00650F0D"/>
    <w:rsid w:val="0065600F"/>
    <w:rsid w:val="006A5DDE"/>
    <w:rsid w:val="006B6E76"/>
    <w:rsid w:val="006C240A"/>
    <w:rsid w:val="006C3DAA"/>
    <w:rsid w:val="006C73D6"/>
    <w:rsid w:val="006D484A"/>
    <w:rsid w:val="006F5D8D"/>
    <w:rsid w:val="007065AA"/>
    <w:rsid w:val="00710BC9"/>
    <w:rsid w:val="00723B90"/>
    <w:rsid w:val="0073505E"/>
    <w:rsid w:val="00740BD6"/>
    <w:rsid w:val="00761D79"/>
    <w:rsid w:val="0077378C"/>
    <w:rsid w:val="00785F2B"/>
    <w:rsid w:val="00786EC4"/>
    <w:rsid w:val="007C4B98"/>
    <w:rsid w:val="007C748C"/>
    <w:rsid w:val="007E2154"/>
    <w:rsid w:val="007E2A38"/>
    <w:rsid w:val="007F187A"/>
    <w:rsid w:val="007F6B32"/>
    <w:rsid w:val="00801CE2"/>
    <w:rsid w:val="00821B39"/>
    <w:rsid w:val="00822BB6"/>
    <w:rsid w:val="00832D73"/>
    <w:rsid w:val="00852ACE"/>
    <w:rsid w:val="00865831"/>
    <w:rsid w:val="0087044D"/>
    <w:rsid w:val="00882523"/>
    <w:rsid w:val="00894FC1"/>
    <w:rsid w:val="008A0648"/>
    <w:rsid w:val="008D25ED"/>
    <w:rsid w:val="008E20D8"/>
    <w:rsid w:val="008F3891"/>
    <w:rsid w:val="00902760"/>
    <w:rsid w:val="00910BAE"/>
    <w:rsid w:val="0091254C"/>
    <w:rsid w:val="00914526"/>
    <w:rsid w:val="009159DA"/>
    <w:rsid w:val="00920282"/>
    <w:rsid w:val="00933AD5"/>
    <w:rsid w:val="0093535B"/>
    <w:rsid w:val="00947198"/>
    <w:rsid w:val="0096739D"/>
    <w:rsid w:val="009775A1"/>
    <w:rsid w:val="00987DF5"/>
    <w:rsid w:val="00994191"/>
    <w:rsid w:val="009B6B80"/>
    <w:rsid w:val="009B75C1"/>
    <w:rsid w:val="009D209F"/>
    <w:rsid w:val="009F3155"/>
    <w:rsid w:val="00A02047"/>
    <w:rsid w:val="00A227E4"/>
    <w:rsid w:val="00A24D00"/>
    <w:rsid w:val="00A25C7F"/>
    <w:rsid w:val="00A26C25"/>
    <w:rsid w:val="00A27B79"/>
    <w:rsid w:val="00A33993"/>
    <w:rsid w:val="00A36C9B"/>
    <w:rsid w:val="00A40A27"/>
    <w:rsid w:val="00A43743"/>
    <w:rsid w:val="00A515E7"/>
    <w:rsid w:val="00A573A9"/>
    <w:rsid w:val="00A83493"/>
    <w:rsid w:val="00A871CA"/>
    <w:rsid w:val="00A91E9D"/>
    <w:rsid w:val="00AA0429"/>
    <w:rsid w:val="00AB7A46"/>
    <w:rsid w:val="00AD2FE7"/>
    <w:rsid w:val="00AD3B3D"/>
    <w:rsid w:val="00AD4E8A"/>
    <w:rsid w:val="00AE24E8"/>
    <w:rsid w:val="00B30EA9"/>
    <w:rsid w:val="00B34A48"/>
    <w:rsid w:val="00B41250"/>
    <w:rsid w:val="00B54F4F"/>
    <w:rsid w:val="00B564DC"/>
    <w:rsid w:val="00B6466C"/>
    <w:rsid w:val="00B80FBD"/>
    <w:rsid w:val="00B87DB3"/>
    <w:rsid w:val="00BB2843"/>
    <w:rsid w:val="00BC308F"/>
    <w:rsid w:val="00BD72A4"/>
    <w:rsid w:val="00BE7F81"/>
    <w:rsid w:val="00C172B9"/>
    <w:rsid w:val="00C31484"/>
    <w:rsid w:val="00C321AA"/>
    <w:rsid w:val="00C44165"/>
    <w:rsid w:val="00C539F1"/>
    <w:rsid w:val="00C56579"/>
    <w:rsid w:val="00C602CC"/>
    <w:rsid w:val="00C62A8C"/>
    <w:rsid w:val="00C823E1"/>
    <w:rsid w:val="00C82F07"/>
    <w:rsid w:val="00C92A10"/>
    <w:rsid w:val="00CA2986"/>
    <w:rsid w:val="00CB1BD6"/>
    <w:rsid w:val="00CC643A"/>
    <w:rsid w:val="00CD6F9C"/>
    <w:rsid w:val="00CE0581"/>
    <w:rsid w:val="00CF523C"/>
    <w:rsid w:val="00D252C5"/>
    <w:rsid w:val="00D265D9"/>
    <w:rsid w:val="00D84514"/>
    <w:rsid w:val="00D862CA"/>
    <w:rsid w:val="00DA0127"/>
    <w:rsid w:val="00DA233B"/>
    <w:rsid w:val="00DA403F"/>
    <w:rsid w:val="00DC355C"/>
    <w:rsid w:val="00DF1593"/>
    <w:rsid w:val="00E11049"/>
    <w:rsid w:val="00E20169"/>
    <w:rsid w:val="00E247B6"/>
    <w:rsid w:val="00E40275"/>
    <w:rsid w:val="00E41D47"/>
    <w:rsid w:val="00E64B9A"/>
    <w:rsid w:val="00E66910"/>
    <w:rsid w:val="00E8647E"/>
    <w:rsid w:val="00E938F9"/>
    <w:rsid w:val="00EA21AF"/>
    <w:rsid w:val="00EB0F47"/>
    <w:rsid w:val="00EE340B"/>
    <w:rsid w:val="00EE5DBC"/>
    <w:rsid w:val="00EF0FA1"/>
    <w:rsid w:val="00F073DF"/>
    <w:rsid w:val="00F2783D"/>
    <w:rsid w:val="00F365E5"/>
    <w:rsid w:val="00F417F0"/>
    <w:rsid w:val="00F5379A"/>
    <w:rsid w:val="00F54628"/>
    <w:rsid w:val="00F55BF2"/>
    <w:rsid w:val="00F561E0"/>
    <w:rsid w:val="00FB79AC"/>
    <w:rsid w:val="00FC74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4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F0D"/>
  </w:style>
  <w:style w:type="paragraph" w:styleId="Footer">
    <w:name w:val="footer"/>
    <w:basedOn w:val="Normal"/>
    <w:link w:val="FooterChar"/>
    <w:uiPriority w:val="99"/>
    <w:unhideWhenUsed/>
    <w:rsid w:val="00650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F0D"/>
  </w:style>
  <w:style w:type="character" w:styleId="Emphasis">
    <w:name w:val="Emphasis"/>
    <w:basedOn w:val="DefaultParagraphFont"/>
    <w:uiPriority w:val="20"/>
    <w:qFormat/>
    <w:rsid w:val="00A36C9B"/>
    <w:rPr>
      <w:i/>
      <w:iCs/>
    </w:rPr>
  </w:style>
  <w:style w:type="character" w:styleId="Hyperlink">
    <w:name w:val="Hyperlink"/>
    <w:basedOn w:val="DefaultParagraphFont"/>
    <w:uiPriority w:val="99"/>
    <w:unhideWhenUsed/>
    <w:rsid w:val="00822BB6"/>
    <w:rPr>
      <w:color w:val="0563C1" w:themeColor="hyperlink"/>
      <w:u w:val="single"/>
    </w:rPr>
  </w:style>
  <w:style w:type="character" w:customStyle="1" w:styleId="UnresolvedMention1">
    <w:name w:val="Unresolved Mention1"/>
    <w:basedOn w:val="DefaultParagraphFont"/>
    <w:uiPriority w:val="99"/>
    <w:semiHidden/>
    <w:unhideWhenUsed/>
    <w:rsid w:val="00822BB6"/>
    <w:rPr>
      <w:color w:val="605E5C"/>
      <w:shd w:val="clear" w:color="auto" w:fill="E1DFDD"/>
    </w:rPr>
  </w:style>
  <w:style w:type="paragraph" w:styleId="Bibliography">
    <w:name w:val="Bibliography"/>
    <w:basedOn w:val="Normal"/>
    <w:next w:val="Normal"/>
    <w:uiPriority w:val="37"/>
    <w:unhideWhenUsed/>
    <w:rsid w:val="00E8647E"/>
  </w:style>
  <w:style w:type="paragraph" w:styleId="BalloonText">
    <w:name w:val="Balloon Text"/>
    <w:basedOn w:val="Normal"/>
    <w:link w:val="BalloonTextChar"/>
    <w:uiPriority w:val="99"/>
    <w:semiHidden/>
    <w:unhideWhenUsed/>
    <w:rsid w:val="00E402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027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F0D"/>
  </w:style>
  <w:style w:type="paragraph" w:styleId="Footer">
    <w:name w:val="footer"/>
    <w:basedOn w:val="Normal"/>
    <w:link w:val="FooterChar"/>
    <w:uiPriority w:val="99"/>
    <w:unhideWhenUsed/>
    <w:rsid w:val="00650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F0D"/>
  </w:style>
  <w:style w:type="character" w:styleId="Emphasis">
    <w:name w:val="Emphasis"/>
    <w:basedOn w:val="DefaultParagraphFont"/>
    <w:uiPriority w:val="20"/>
    <w:qFormat/>
    <w:rsid w:val="00A36C9B"/>
    <w:rPr>
      <w:i/>
      <w:iCs/>
    </w:rPr>
  </w:style>
  <w:style w:type="character" w:styleId="Hyperlink">
    <w:name w:val="Hyperlink"/>
    <w:basedOn w:val="DefaultParagraphFont"/>
    <w:uiPriority w:val="99"/>
    <w:unhideWhenUsed/>
    <w:rsid w:val="00822BB6"/>
    <w:rPr>
      <w:color w:val="0563C1" w:themeColor="hyperlink"/>
      <w:u w:val="single"/>
    </w:rPr>
  </w:style>
  <w:style w:type="character" w:customStyle="1" w:styleId="UnresolvedMention1">
    <w:name w:val="Unresolved Mention1"/>
    <w:basedOn w:val="DefaultParagraphFont"/>
    <w:uiPriority w:val="99"/>
    <w:semiHidden/>
    <w:unhideWhenUsed/>
    <w:rsid w:val="00822BB6"/>
    <w:rPr>
      <w:color w:val="605E5C"/>
      <w:shd w:val="clear" w:color="auto" w:fill="E1DFDD"/>
    </w:rPr>
  </w:style>
  <w:style w:type="paragraph" w:styleId="Bibliography">
    <w:name w:val="Bibliography"/>
    <w:basedOn w:val="Normal"/>
    <w:next w:val="Normal"/>
    <w:uiPriority w:val="37"/>
    <w:unhideWhenUsed/>
    <w:rsid w:val="00E8647E"/>
  </w:style>
  <w:style w:type="paragraph" w:styleId="BalloonText">
    <w:name w:val="Balloon Text"/>
    <w:basedOn w:val="Normal"/>
    <w:link w:val="BalloonTextChar"/>
    <w:uiPriority w:val="99"/>
    <w:semiHidden/>
    <w:unhideWhenUsed/>
    <w:rsid w:val="00E402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027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3816969">
      <w:bodyDiv w:val="1"/>
      <w:marLeft w:val="0"/>
      <w:marRight w:val="0"/>
      <w:marTop w:val="0"/>
      <w:marBottom w:val="0"/>
      <w:divBdr>
        <w:top w:val="none" w:sz="0" w:space="0" w:color="auto"/>
        <w:left w:val="none" w:sz="0" w:space="0" w:color="auto"/>
        <w:bottom w:val="none" w:sz="0" w:space="0" w:color="auto"/>
        <w:right w:val="none" w:sz="0" w:space="0" w:color="auto"/>
      </w:divBdr>
    </w:div>
    <w:div w:id="386146833">
      <w:bodyDiv w:val="1"/>
      <w:marLeft w:val="0"/>
      <w:marRight w:val="0"/>
      <w:marTop w:val="0"/>
      <w:marBottom w:val="0"/>
      <w:divBdr>
        <w:top w:val="none" w:sz="0" w:space="0" w:color="auto"/>
        <w:left w:val="none" w:sz="0" w:space="0" w:color="auto"/>
        <w:bottom w:val="none" w:sz="0" w:space="0" w:color="auto"/>
        <w:right w:val="none" w:sz="0" w:space="0" w:color="auto"/>
      </w:divBdr>
    </w:div>
    <w:div w:id="1027365682">
      <w:bodyDiv w:val="1"/>
      <w:marLeft w:val="0"/>
      <w:marRight w:val="0"/>
      <w:marTop w:val="0"/>
      <w:marBottom w:val="0"/>
      <w:divBdr>
        <w:top w:val="none" w:sz="0" w:space="0" w:color="auto"/>
        <w:left w:val="none" w:sz="0" w:space="0" w:color="auto"/>
        <w:bottom w:val="none" w:sz="0" w:space="0" w:color="auto"/>
        <w:right w:val="none" w:sz="0" w:space="0" w:color="auto"/>
      </w:divBdr>
    </w:div>
    <w:div w:id="1999645818">
      <w:bodyDiv w:val="1"/>
      <w:marLeft w:val="0"/>
      <w:marRight w:val="0"/>
      <w:marTop w:val="0"/>
      <w:marBottom w:val="0"/>
      <w:divBdr>
        <w:top w:val="none" w:sz="0" w:space="0" w:color="auto"/>
        <w:left w:val="none" w:sz="0" w:space="0" w:color="auto"/>
        <w:bottom w:val="none" w:sz="0" w:space="0" w:color="auto"/>
        <w:right w:val="none" w:sz="0" w:space="0" w:color="auto"/>
      </w:divBdr>
    </w:div>
    <w:div w:id="2138864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Ire10</b:Tag>
    <b:SourceType>Film</b:SourceType>
    <b:Guid>{7A3C25A4-E7E6-4F2D-9DE5-43B4951B4D06}</b:Guid>
    <b:Title>Flow: For Love of Water</b:Title>
    <b:Year>2010</b:Year>
    <b:Author>
      <b:Director>
        <b:NameList>
          <b:Person>
            <b:Last>Salina</b:Last>
            <b:First>Irena</b:First>
          </b:Person>
        </b:NameList>
      </b:Director>
    </b:Author>
    <b:RefOrder>4</b:RefOrder>
  </b:Source>
  <b:Source>
    <b:Tag>Hun16</b:Tag>
    <b:SourceType>Book</b:SourceType>
    <b:Guid>{4565D4A8-33F4-4B2D-8E90-784639BE0BE5}</b:Guid>
    <b:Title>Hunter et al.</b:Title>
    <b:Year>2016</b:Year>
    <b:RefOrder>5</b:RefOrder>
  </b:Source>
  <b:Source>
    <b:Tag>Ken16</b:Tag>
    <b:SourceType>Book</b:SourceType>
    <b:Guid>{4C031F89-EFCD-4374-AA74-66A69D837D3D}</b:Guid>
    <b:Title>Kennish</b:Title>
    <b:Year>2016</b:Year>
    <b:RefOrder>6</b:RefOrder>
  </b:Source>
  <b:Source>
    <b:Tag>Kei17</b:Tag>
    <b:SourceType>Book</b:SourceType>
    <b:Guid>{1F7D53DF-C443-4B5D-B54C-9D55AEE89409}</b:Guid>
    <b:Title>Keiser et al.</b:Title>
    <b:Year>2017</b:Year>
    <b:RefOrder>7</b:RefOrder>
  </b:Source>
  <b:Source>
    <b:Tag>Ong10</b:Tag>
    <b:SourceType>Book</b:SourceType>
    <b:Guid>{EED8BF94-62BA-4F9B-906F-A1B38FC97B20}</b:Guid>
    <b:Title>Ong et al.</b:Title>
    <b:Year>2010</b:Year>
    <b:RefOrder>8</b:RefOrder>
  </b:Source>
  <b:Source>
    <b:Tag>Vut171</b:Tag>
    <b:SourceType>Book</b:SourceType>
    <b:Guid>{8F26677C-788D-454F-89EF-1739DF259C92}</b:Guid>
    <b:Title>Vuthisopon &amp; Srinuan.</b:Title>
    <b:Year>2017</b:Year>
    <b:RefOrder>9</b:RefOrder>
  </b:Source>
  <b:Source>
    <b:Tag>Vut172</b:Tag>
    <b:SourceType>Book</b:SourceType>
    <b:Guid>{B8CD755B-155D-490C-A4E0-DF5FF82359AF}</b:Guid>
    <b:Title>Vuthisopon &amp; Srinuan</b:Title>
    <b:Year>2017</b:Year>
    <b:RefOrder>10</b:RefOrder>
  </b:Source>
  <b:Source>
    <b:Tag>Sho13</b:Tag>
    <b:SourceType>Book</b:SourceType>
    <b:Guid>{FD0AD018-04E4-4C1B-BD56-E528994E7E7D}</b:Guid>
    <b:Title>Shou &amp; Ding</b:Title>
    <b:Year>2013</b:Year>
    <b:RefOrder>11</b:RefOrder>
  </b:Source>
  <b:Source>
    <b:Tag>Isa17</b:Tag>
    <b:SourceType>Book</b:SourceType>
    <b:Guid>{572B16FE-2C95-4B7F-81AB-60C9C0CD0ABC}</b:Guid>
    <b:Title>Isaac &amp; Ruitenberg</b:Title>
    <b:Year>2017</b:Year>
    <b:RefOrder>12</b:RefOrder>
  </b:Source>
  <b:Source>
    <b:Tag>Pai10</b:Tag>
    <b:SourceType>Book</b:SourceType>
    <b:Guid>{4854567F-83F6-441B-B82E-782E347D318D}</b:Guid>
    <b:Title>Paielli.</b:Title>
    <b:Year>2010</b:Year>
    <b:RefOrder>13</b:RefOrder>
  </b:Source>
  <b:Source>
    <b:Tag>Bro12</b:Tag>
    <b:SourceType>Book</b:SourceType>
    <b:Guid>{0C4DFA22-8691-4D61-BC78-47B3114278F5}</b:Guid>
    <b:Title>Broyer et al.</b:Title>
    <b:Year>2012</b:Year>
    <b:RefOrder>14</b:RefOrder>
  </b:Source>
  <b:Source>
    <b:Tag>Bar10</b:Tag>
    <b:SourceType>Book</b:SourceType>
    <b:Guid>{D31E02F1-46EF-431A-AE0A-4D537730748C}</b:Guid>
    <b:Title>Bartram et al.</b:Title>
    <b:Year>2010</b:Year>
    <b:RefOrder>15</b:RefOrder>
  </b:Source>
  <b:Source>
    <b:Tag>Ver10</b:Tag>
    <b:SourceType>Book</b:SourceType>
    <b:Guid>{F26FB989-E1FC-4451-8D88-9F5F8EE13E63}</b:Guid>
    <b:Title>Verdelhan.</b:Title>
    <b:Year>2010</b:Year>
    <b:RefOrder>16</b:RefOrder>
  </b:Source>
  <b:Source>
    <b:Tag>Gab15</b:Tag>
    <b:SourceType>Book</b:SourceType>
    <b:Guid>{384A7D91-C476-42E3-993F-5BF0DF0EDB3E}</b:Guid>
    <b:Title>Gabaix &amp; Maggiori</b:Title>
    <b:Year>2015</b:Year>
    <b:RefOrder>17</b:RefOrder>
  </b:Source>
  <b:Source>
    <b:Tag>DeF14</b:Tag>
    <b:SourceType>Book</b:SourceType>
    <b:Guid>{111A2B81-D54E-441E-89AF-45D0AA733295}</b:Guid>
    <b:Title>DeFrancisco et al.</b:Title>
    <b:Year>2014</b:Year>
    <b:RefOrder>18</b:RefOrder>
  </b:Source>
  <b:Source>
    <b:Tag>Con13</b:Tag>
    <b:SourceType>Book</b:SourceType>
    <b:Guid>{41AAD629-1FDA-46B4-B082-1EC935CD657B}</b:Guid>
    <b:Title>Connell.</b:Title>
    <b:Year>2013</b:Year>
    <b:RefOrder>19</b:RefOrder>
  </b:Source>
  <b:Source>
    <b:Tag>Fin10</b:Tag>
    <b:SourceType>Book</b:SourceType>
    <b:Guid>{D78D04E2-4016-4A2D-89E5-7AB893C57313}</b:Guid>
    <b:Title>Fine.</b:Title>
    <b:Year>2010</b:Year>
    <b:RefOrder>20</b:RefOrder>
  </b:Source>
  <b:Source>
    <b:Tag>Ghe10</b:Tag>
    <b:SourceType>Book</b:SourceType>
    <b:Guid>{470FC104-C54D-40C2-AC0A-C9253C7CCAC7}</b:Guid>
    <b:Title>Ghezeljeh et al.</b:Title>
    <b:Year>2010</b:Year>
    <b:RefOrder>21</b:RefOrder>
  </b:Source>
  <b:Source>
    <b:Tag>Fri15</b:Tag>
    <b:SourceType>Book</b:SourceType>
    <b:Guid>{C4FC7F72-EC8F-4A46-B781-0BA0B9055653}</b:Guid>
    <b:Title>Frith.</b:Title>
    <b:Year>2015</b:Year>
    <b:RefOrder>22</b:RefOrder>
  </b:Source>
  <b:Source>
    <b:Tag>Kam10</b:Tag>
    <b:SourceType>Book</b:SourceType>
    <b:Guid>{72A2D9A8-7823-4D63-AC96-C785945B98CD}</b:Guid>
    <b:Title>Kamcev et al.</b:Title>
    <b:Year>2010</b:Year>
    <b:RefOrder>23</b:RefOrder>
  </b:Source>
  <b:Source>
    <b:Tag>Sco10</b:Tag>
    <b:SourceType>Book</b:SourceType>
    <b:Guid>{DC2B6650-9F58-4297-8690-1BCBA775612B}</b:Guid>
    <b:Title>Scott.</b:Title>
    <b:Year>2010</b:Year>
    <b:RefOrder>24</b:RefOrder>
  </b:Source>
  <b:Source>
    <b:Tag>Tom12</b:Tag>
    <b:SourceType>Book</b:SourceType>
    <b:Guid>{1BE8A9C0-D00B-469C-89FE-429D29B17CBD}</b:Guid>
    <b:Title>Tomasi.</b:Title>
    <b:Year>2012</b:Year>
    <b:RefOrder>25</b:RefOrder>
  </b:Source>
  <b:Source>
    <b:Tag>Rob11</b:Tag>
    <b:SourceType>Book</b:SourceType>
    <b:Guid>{2183A1E9-6463-4DF4-BDC1-1F73E36AE4CB}</b:Guid>
    <b:Title>Roby.</b:Title>
    <b:Year>2011</b:Year>
    <b:RefOrder>26</b:RefOrder>
  </b:Source>
  <b:Source>
    <b:Tag>Sak18</b:Tag>
    <b:SourceType>Book</b:SourceType>
    <b:Guid>{A5F9AD57-76EB-4427-BCC7-0A5DDC14C6C6}</b:Guid>
    <b:Title>Sakal.</b:Title>
    <b:Year>2018</b:Year>
    <b:RefOrder>27</b:RefOrder>
  </b:Source>
  <b:Source>
    <b:Tag>Isd11</b:Tag>
    <b:SourceType>Book</b:SourceType>
    <b:Guid>{88C05470-02B2-4A73-A3C8-DE6328797711}</b:Guid>
    <b:Title>Isdell &amp; Beasley</b:Title>
    <b:Year>2011</b:Year>
    <b:RefOrder>28</b:RefOrder>
  </b:Source>
  <b:Source>
    <b:Tag>Bar131</b:Tag>
    <b:SourceType>Book</b:SourceType>
    <b:Guid>{10E37380-B589-4379-BC8C-635A2FF7F866}</b:Guid>
    <b:Title>Barkay.</b:Title>
    <b:Year>2013</b:Year>
    <b:RefOrder>29</b:RefOrder>
  </b:Source>
  <b:Source>
    <b:Tag>Bha16</b:Tag>
    <b:SourceType>Book</b:SourceType>
    <b:Guid>{CCA76CEF-8E9A-464F-ACAF-274EA89D6DDC}</b:Guid>
    <b:Title>Bhardwaj.</b:Title>
    <b:Year>2016</b:Year>
    <b:RefOrder>30</b:RefOrder>
  </b:Source>
  <b:Source>
    <b:Tag>Var10</b:Tag>
    <b:SourceType>Book</b:SourceType>
    <b:Guid>{57056E81-3395-41E1-AFB7-9CE2CF2DE40F}</b:Guid>
    <b:Title>Varadarajan.</b:Title>
    <b:Year>2010</b:Year>
    <b:RefOrder>1</b:RefOrder>
  </b:Source>
  <b:Source>
    <b:Tag>Kan11</b:Tag>
    <b:SourceType>Book</b:SourceType>
    <b:Guid>{BAF2CD55-1919-424F-8401-522870DDEE39}</b:Guid>
    <b:Title>Kanter et al.</b:Title>
    <b:Year>2011</b:Year>
    <b:RefOrder>2</b:RefOrder>
  </b:Source>
  <b:Source>
    <b:Tag>Cho10</b:Tag>
    <b:SourceType>Book</b:SourceType>
    <b:Guid>{1E6BEE96-411D-48DF-A071-EE980651D3C8}</b:Guid>
    <b:Title>Choi &amp; Rainey</b:Title>
    <b:Year>2010</b:Year>
    <b:RefOrder>3</b:RefOrder>
  </b:Source>
</b:Sources>
</file>

<file path=customXml/itemProps1.xml><?xml version="1.0" encoding="utf-8"?>
<ds:datastoreItem xmlns:ds="http://schemas.openxmlformats.org/officeDocument/2006/customXml" ds:itemID="{B1ED8E79-9E15-464C-ABA2-78B7D7315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782</Words>
  <Characters>4459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Jillo</dc:creator>
  <cp:lastModifiedBy>Gabriel</cp:lastModifiedBy>
  <cp:revision>2</cp:revision>
  <dcterms:created xsi:type="dcterms:W3CDTF">2020-11-24T15:39:00Z</dcterms:created>
  <dcterms:modified xsi:type="dcterms:W3CDTF">2020-11-24T15:39:00Z</dcterms:modified>
</cp:coreProperties>
</file>